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media/image4.jpeg" ContentType="image/jpeg"/>
  <Override PartName="/word/media/image16.png" ContentType="image/png"/>
  <Override PartName="/word/media/image12.gif" ContentType="image/gif"/>
  <Override PartName="/word/media/image5.jpeg" ContentType="image/jpeg"/>
  <Override PartName="/word/media/image17.png" ContentType="image/png"/>
  <Override PartName="/word/media/image6.jpeg" ContentType="image/jpeg"/>
  <Override PartName="/word/media/image3.jpeg" ContentType="image/jpeg"/>
  <Override PartName="/word/media/image2.jpeg" ContentType="image/jpeg"/>
  <Override PartName="/word/media/image9.gif" ContentType="image/gif"/>
  <Override PartName="/word/media/image7.gif" ContentType="image/gif"/>
  <Override PartName="/word/media/image8.gif" ContentType="image/gif"/>
  <Override PartName="/word/media/image10.gif" ContentType="image/gif"/>
  <Override PartName="/word/media/image13.gif" ContentType="image/gif"/>
  <Override PartName="/word/media/image14.png" ContentType="image/png"/>
  <Override PartName="/word/media/image11.gif" ContentType="image/gif"/>
  <Override PartName="/word/media/image15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ФИШИНГ ПИСЬМО.</w:t>
      </w:r>
    </w:p>
    <w:p>
      <w:pPr>
        <w:pStyle w:val="Normal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КАК РАСПОЗНАТЬ? ЧТО ДЕЛАТЬ?</w:t>
      </w:r>
    </w:p>
    <w:tbl>
      <w:tblPr>
        <w:tblStyle w:val="af3"/>
        <w:tblW w:w="6413" w:type="dxa"/>
        <w:jc w:val="left"/>
        <w:tblInd w:w="3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187"/>
        <w:gridCol w:w="5225"/>
      </w:tblGrid>
      <w:tr>
        <w:trPr/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sz w:val="18"/>
                <w:lang w:val="en-US"/>
              </w:rPr>
            </w:pPr>
            <w:r>
              <w:rPr>
                <w:rFonts w:eastAsia="Calibri" w:cs=""/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558800" cy="421640"/>
                  <wp:effectExtent l="0" t="0" r="0" b="0"/>
                  <wp:docPr id="1" name="Рисунок 2" descr="C:\Users\Elena.Demina\Downloads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Elena.Demina\Downloads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10"/>
              <w:jc w:val="both"/>
              <w:rPr>
                <w:rFonts w:ascii="Georgia" w:hAnsi="Georgia"/>
                <w:i/>
                <w:i/>
                <w:sz w:val="18"/>
              </w:rPr>
            </w:pPr>
            <w:r>
              <w:rPr>
                <w:rFonts w:eastAsia="Calibri" w:cs="" w:ascii="Georgia" w:hAnsi="Georgia"/>
                <w:b/>
                <w:bCs/>
                <w:i/>
                <w:kern w:val="0"/>
                <w:sz w:val="14"/>
                <w:szCs w:val="22"/>
                <w:lang w:val="ru-RU" w:eastAsia="en-US" w:bidi="ar-SA"/>
              </w:rPr>
              <w:t xml:space="preserve">Фишинг (англ. phishing) </w:t>
            </w:r>
            <w:r>
              <w:rPr>
                <w:rFonts w:eastAsia="Calibri" w:cs="" w:ascii="Georgia" w:hAnsi="Georgia"/>
                <w:i/>
                <w:kern w:val="0"/>
                <w:sz w:val="14"/>
                <w:szCs w:val="22"/>
                <w:lang w:val="ru-RU" w:eastAsia="en-US" w:bidi="ar-SA"/>
              </w:rPr>
              <w:t>— вид интернет-мошенничества, целью которого является получение идентификационных данных пользователей (логин, пароль, номер кредитной карты и другой конфиденциальной информации), а также запуск вредоносного программного обеспечения на компьютере пользователя.</w:t>
            </w:r>
          </w:p>
        </w:tc>
      </w:tr>
    </w:tbl>
    <w:p>
      <w:pPr>
        <w:pStyle w:val="Normal"/>
        <w:spacing w:lineRule="auto" w:line="240" w:before="0" w:after="120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КАК РАСПОЗНАТЬ?</w:t>
      </w:r>
      <w:bookmarkStart w:id="0" w:name="_GoBack"/>
      <w:bookmarkEnd w:id="0"/>
    </w:p>
    <w:p>
      <w:pPr>
        <w:pStyle w:val="Normal"/>
        <w:spacing w:lineRule="auto" w:line="240" w:before="0" w:after="12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1. Вы не ждали этого письма.</w:t>
      </w:r>
    </w:p>
    <w:tbl>
      <w:tblPr>
        <w:tblStyle w:val="af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2"/>
        <w:gridCol w:w="8838"/>
      </w:tblGrid>
      <w:tr>
        <w:trPr/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315595" cy="309880"/>
                  <wp:effectExtent l="0" t="0" r="0" b="0"/>
                  <wp:docPr id="2" name="Рисунок 7" descr="C:\Users\Elena.Demina\Downloads\932146db71cccc08d0211868c3b0b505_i-19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" descr="C:\Users\Elena.Demina\Downloads\932146db71cccc08d0211868c3b0b505_i-19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 w:ascii="Georgia" w:hAnsi="Georgia"/>
                <w:kern w:val="0"/>
                <w:sz w:val="18"/>
                <w:szCs w:val="22"/>
                <w:lang w:val="ru-RU" w:eastAsia="en-US" w:bidi="ar-SA"/>
              </w:rPr>
              <w:t>Конечно, следует обращать внимание на отправителя и получателя письма.</w:t>
            </w:r>
          </w:p>
        </w:tc>
      </w:tr>
      <w:tr>
        <w:trPr/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315595" cy="309880"/>
                  <wp:effectExtent l="0" t="0" r="0" b="0"/>
                  <wp:docPr id="3" name="Рисунок 21" descr="C:\Users\Elena.Demina\Downloads\932146db71cccc08d0211868c3b0b505_i-19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1" descr="C:\Users\Elena.Demina\Downloads\932146db71cccc08d0211868c3b0b505_i-19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 w:ascii="Georgia" w:hAnsi="Georgia"/>
                <w:kern w:val="0"/>
                <w:sz w:val="18"/>
                <w:szCs w:val="22"/>
                <w:lang w:val="ru-RU" w:eastAsia="en-US" w:bidi="ar-SA"/>
              </w:rPr>
              <w:t>Но злоумышленники научились имитировать письма от известных организаций, и адрес отправителя, и содержания письма может выглядеть очень достоверно.</w:t>
            </w:r>
          </w:p>
        </w:tc>
      </w:tr>
      <w:tr>
        <w:trPr/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315595" cy="309880"/>
                  <wp:effectExtent l="0" t="0" r="0" b="0"/>
                  <wp:docPr id="4" name="Рисунок 22" descr="C:\Users\Elena.Demina\Downloads\932146db71cccc08d0211868c3b0b505_i-19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2" descr="C:\Users\Elena.Demina\Downloads\932146db71cccc08d0211868c3b0b505_i-19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 w:ascii="Georgia" w:hAnsi="Georgia"/>
                <w:kern w:val="0"/>
                <w:sz w:val="18"/>
                <w:szCs w:val="22"/>
                <w:lang w:val="ru-RU" w:eastAsia="en-US" w:bidi="ar-SA"/>
              </w:rPr>
              <w:t>Письмо может быть передано и от знакомого вам человека, если его ПК заражен вредоносным ПО или он по неосторожности переадресовал письмо Вам.</w:t>
            </w:r>
          </w:p>
        </w:tc>
      </w:tr>
      <w:tr>
        <w:trPr/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315595" cy="309880"/>
                  <wp:effectExtent l="0" t="0" r="0" b="0"/>
                  <wp:docPr id="5" name="Изображение3" descr="C:\Users\Elena.Demina\Downloads\932146db71cccc08d0211868c3b0b505_i-19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C:\Users\Elena.Demina\Downloads\932146db71cccc08d0211868c3b0b505_i-19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eastAsia="Calibri" w:cs="" w:ascii="Georgia" w:hAnsi="Georgia"/>
                <w:kern w:val="0"/>
                <w:sz w:val="18"/>
                <w:szCs w:val="22"/>
                <w:lang w:val="ru-RU" w:eastAsia="en-US" w:bidi="ar-SA"/>
              </w:rPr>
              <w:t>Адрес отправителя не совпадает с доменом, указанным на официальном сайте организации, от имени которой якобы отправлено письмо.</w:t>
            </w:r>
          </w:p>
        </w:tc>
      </w:tr>
    </w:tbl>
    <w:p>
      <w:pPr>
        <w:pStyle w:val="Normal"/>
        <w:spacing w:lineRule="auto" w:line="240" w:before="120" w:after="12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2. В письме Вас просят срочно совершить действие: перейти по ссылке, открыть вложение и т.д.</w:t>
      </w:r>
    </w:p>
    <w:tbl>
      <w:tblPr>
        <w:tblStyle w:val="af3"/>
        <w:tblW w:w="96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6"/>
        <w:gridCol w:w="8756"/>
      </w:tblGrid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eorgia" w:hAnsi="Georgia"/>
                <w:sz w:val="18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402590" cy="402590"/>
                  <wp:effectExtent l="0" t="0" r="0" b="0"/>
                  <wp:docPr id="6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430" t="9008" r="9008" b="12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sz w:val="18"/>
              </w:rPr>
            </w:pPr>
            <w:r>
              <w:rPr>
                <w:rFonts w:eastAsia="Calibri" w:cs="" w:ascii="Georgia" w:hAnsi="Georgia"/>
                <w:kern w:val="0"/>
                <w:sz w:val="18"/>
                <w:szCs w:val="22"/>
                <w:lang w:val="ru-RU" w:eastAsia="en-US" w:bidi="ar-SA"/>
              </w:rPr>
              <w:t>Получив письмо, в котором сообщается о блокировке важного аккаунта (например, интернет-банка), о наличии задолженности или штрафа, важном сообщении от организации, люди стремятся поскорее выполнить указание в письме, не задумываясь о потенциальной опасности.</w:t>
            </w:r>
          </w:p>
        </w:tc>
      </w:tr>
    </w:tbl>
    <w:p>
      <w:pPr>
        <w:pStyle w:val="Normal"/>
        <w:spacing w:lineRule="auto" w:line="240" w:before="120" w:after="12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3. В письме имеется ссылка для скачивания файлов.</w:t>
      </w:r>
    </w:p>
    <w:tbl>
      <w:tblPr>
        <w:tblStyle w:val="af3"/>
        <w:tblW w:w="635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20"/>
        <w:gridCol w:w="2132"/>
      </w:tblGrid>
      <w:tr>
        <w:trPr>
          <w:trHeight w:val="828" w:hRule="atLeast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i/>
                <w:i/>
                <w:sz w:val="14"/>
              </w:rPr>
            </w:pPr>
            <w:r>
              <w:rPr>
                <w:rFonts w:eastAsia="Calibri" w:cs="" w:ascii="Georgia" w:hAnsi="Georgia"/>
                <w:b/>
                <w:i/>
                <w:kern w:val="0"/>
                <w:sz w:val="14"/>
                <w:szCs w:val="22"/>
                <w:lang w:val="ru-RU" w:eastAsia="en-US" w:bidi="ar-SA"/>
              </w:rPr>
              <w:t>Ссылка</w:t>
            </w:r>
            <w:r>
              <w:rPr>
                <w:rFonts w:eastAsia="Calibri" w:cs="" w:ascii="Georgia" w:hAnsi="Georgia"/>
                <w:i/>
                <w:kern w:val="0"/>
                <w:sz w:val="14"/>
                <w:szCs w:val="22"/>
                <w:lang w:val="ru-RU" w:eastAsia="en-US" w:bidi="ar-SA"/>
              </w:rPr>
              <w:t xml:space="preserve"> – элемент письма (например, текст или картинка), нажав на который Вы будете переадресованы на некую интернет страницу. При наведении курсора на ссылку он меняет форму на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147320" cy="189865"/>
                  <wp:effectExtent l="0" t="0" r="0" b="0"/>
                  <wp:docPr id="7" name="Рисунок 9" descr="C:\Users\Elena.Demina\Downloads\загруженное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9" descr="C:\Users\Elena.Demina\Downloads\загруженное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eorgia" w:hAnsi="Georgia"/>
                <w:sz w:val="14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862965" cy="516255"/>
                  <wp:effectExtent l="0" t="0" r="0" b="0"/>
                  <wp:docPr id="8" name="Рисунок 10" descr="C:\Users\Elena.Demina\Downloads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0" descr="C:\Users\Elena.Demina\Downloads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120" w:after="120"/>
        <w:rPr>
          <w:rFonts w:ascii="Georgia" w:hAnsi="Georgia"/>
          <w:sz w:val="18"/>
          <w:lang w:eastAsia="ru-RU"/>
        </w:rPr>
      </w:pPr>
      <w:r>
        <w:rPr>
          <w:rFonts w:ascii="Georgia" w:hAnsi="Georgia"/>
          <w:sz w:val="18"/>
        </w:rPr>
        <w:t>Перейдя по ссылке в письме Вы можете загрузить вредоносное ПО!</w:t>
      </w:r>
    </w:p>
    <w:p>
      <w:pPr>
        <w:pStyle w:val="Normal"/>
        <w:spacing w:lineRule="auto" w:line="240" w:before="120" w:after="120"/>
        <w:rPr>
          <w:rFonts w:ascii="Georgia" w:hAnsi="Georgia"/>
          <w:sz w:val="18"/>
          <w:lang w:eastAsia="ru-RU"/>
        </w:rPr>
      </w:pPr>
      <w:r>
        <w:rPr>
          <w:rFonts w:ascii="Georgia" w:hAnsi="Georgia"/>
          <w:sz w:val="18"/>
          <w:lang w:eastAsia="ru-RU"/>
        </w:rPr>
        <w:t>Наведите курсор мышки на ссылку (не нажимая на нее, ссылка появится или рядом с курсором или в левой нижней части окна) и посмотрите на название сайта, который Вам предлагают посетить. В новой вкладке браузера в ручную вбейте полученную ссылку (не копируя ее). Такой метод позволит заметить ошибки в ссылке.</w:t>
      </w:r>
    </w:p>
    <w:p>
      <w:pPr>
        <w:pStyle w:val="Normal"/>
        <w:spacing w:lineRule="auto" w:line="240" w:before="0" w:after="120"/>
        <w:jc w:val="center"/>
        <w:rPr>
          <w:rFonts w:ascii="Georgia" w:hAnsi="Georgia"/>
          <w:b/>
          <w:sz w:val="18"/>
        </w:rPr>
      </w:pPr>
      <w:r>
        <w:rPr>
          <w:rFonts w:ascii="Georgia" w:hAnsi="Georgia"/>
          <w:b/>
          <w:sz w:val="18"/>
        </w:rPr>
        <w:t>4. Обратите внимание на вложение к письму.</w:t>
      </w:r>
    </w:p>
    <w:p>
      <w:pPr>
        <w:pStyle w:val="Normal"/>
        <w:spacing w:lineRule="auto" w:line="240" w:before="0" w:after="120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В архиве, прикрепленном к письму, может содержаться вредоносное ПО.</w:t>
      </w:r>
    </w:p>
    <w:tbl>
      <w:tblPr>
        <w:tblStyle w:val="af3"/>
        <w:tblW w:w="7371" w:type="dxa"/>
        <w:jc w:val="left"/>
        <w:tblInd w:w="20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51"/>
        <w:gridCol w:w="4819"/>
      </w:tblGrid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Georgia" w:hAnsi="Georgia"/>
                <w:b/>
                <w:sz w:val="18"/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bidi="ar-SA"/>
              </w:rPr>
              <w:drawing>
                <wp:inline distT="0" distB="0" distL="0" distR="0">
                  <wp:extent cx="1463040" cy="526415"/>
                  <wp:effectExtent l="0" t="0" r="0" b="0"/>
                  <wp:docPr id="9" name="Рисунок 12" descr="C:\Users\Elena.Demina\Downloads\Как-распаковать-архив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2" descr="C:\Users\Elena.Demina\Downloads\Как-распаковать-архив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826" t="23569" r="3285" b="30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Georgia" w:hAnsi="Georgia"/>
                <w:b/>
                <w:i/>
                <w:i/>
                <w:sz w:val="18"/>
                <w:lang w:eastAsia="ru-RU"/>
              </w:rPr>
            </w:pPr>
            <w:r>
              <w:rPr>
                <w:rFonts w:eastAsia="Calibri" w:cs="" w:ascii="Georgia" w:hAnsi="Georgia"/>
                <w:i/>
                <w:kern w:val="0"/>
                <w:sz w:val="14"/>
                <w:szCs w:val="22"/>
                <w:lang w:val="ru-RU" w:eastAsia="en-US" w:bidi="ar-SA"/>
              </w:rPr>
              <w:t>Очень часто злоумышленники архивируют вредоносное ПО. В таком виде его сложнее обнаружить системам защиты. Также в архиве помимо видимых, на первый взгляд безвредных файлов, могут быть скрытые файлы, которые активируют вредоносное ПО.</w:t>
            </w:r>
          </w:p>
        </w:tc>
      </w:tr>
    </w:tbl>
    <w:p>
      <w:pPr>
        <w:pStyle w:val="Normal"/>
        <w:spacing w:lineRule="auto" w:line="240" w:before="120" w:after="120"/>
        <w:rPr/>
      </w:pPr>
      <w:r>
        <w:rPr>
          <w:rFonts w:ascii="Georgia" w:hAnsi="Georgia"/>
          <w:sz w:val="18"/>
        </w:rPr>
        <w:t>Важно проверить, что в почтовом клиенте у вас отображается расширение файлов!</w:t>
      </w:r>
    </w:p>
    <w:tbl>
      <w:tblPr>
        <w:tblStyle w:val="af3"/>
        <w:tblW w:w="758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27"/>
        <w:gridCol w:w="4360"/>
      </w:tblGrid>
      <w:tr>
        <w:trPr/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eorgia" w:hAnsi="Georgia"/>
                <w:sz w:val="18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882650" cy="161925"/>
                  <wp:effectExtent l="0" t="0" r="0" b="0"/>
                  <wp:docPr id="10" name="Рисунок 1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807085" cy="147955"/>
                  <wp:effectExtent l="0" t="0" r="0" b="0"/>
                  <wp:docPr id="11" name="Рисунок 1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778510" cy="142875"/>
                  <wp:effectExtent l="0" t="0" r="0" b="0"/>
                  <wp:docPr id="12" name="Рисунок 1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6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771525" cy="141605"/>
                  <wp:effectExtent l="0" t="0" r="0" b="0"/>
                  <wp:docPr id="13" name="Рисунок 1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4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792480" cy="145415"/>
                  <wp:effectExtent l="0" t="0" r="0" b="0"/>
                  <wp:docPr id="14" name="Рисунок 18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4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drawing>
                <wp:inline distT="0" distB="0" distL="0" distR="0">
                  <wp:extent cx="804545" cy="147955"/>
                  <wp:effectExtent l="0" t="0" r="0" b="0"/>
                  <wp:docPr id="15" name="Рисунок 1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i/>
                <w:i/>
                <w:sz w:val="14"/>
              </w:rPr>
            </w:pPr>
            <w:r>
              <w:rPr>
                <w:rFonts w:eastAsia="Calibri" w:cs="" w:ascii="Georgia" w:hAnsi="Georgia"/>
                <w:b/>
                <w:i/>
                <w:kern w:val="0"/>
                <w:sz w:val="14"/>
                <w:szCs w:val="22"/>
                <w:lang w:val="ru-RU" w:eastAsia="en-US" w:bidi="ar-SA"/>
              </w:rPr>
              <w:t xml:space="preserve">Расширение файла </w:t>
            </w:r>
            <w:r>
              <w:rPr>
                <w:rFonts w:eastAsia="Calibri" w:cs="" w:ascii="Georgia" w:hAnsi="Georgia"/>
                <w:i/>
                <w:kern w:val="0"/>
                <w:sz w:val="14"/>
                <w:szCs w:val="22"/>
                <w:lang w:val="ru-RU" w:eastAsia="en-US" w:bidi="ar-SA"/>
              </w:rPr>
              <w:t>– формат файла, группа букв после последней точки.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i/>
                <w:i/>
                <w:sz w:val="14"/>
              </w:rPr>
            </w:pPr>
            <w:r>
              <w:rPr>
                <w:rFonts w:eastAsia="Calibri" w:cs="" w:ascii="Georgia" w:hAnsi="Georgia"/>
                <w:i/>
                <w:kern w:val="0"/>
                <w:sz w:val="14"/>
                <w:szCs w:val="22"/>
                <w:lang w:val="ru-RU" w:eastAsia="en-US" w:bidi="ar-SA"/>
              </w:rPr>
              <w:t>Слева приведены наиболее распространенные форматы файлов.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/>
                <w:b/>
                <w:i/>
                <w:i/>
                <w:sz w:val="14"/>
              </w:rPr>
            </w:pPr>
            <w:r>
              <w:rPr>
                <w:rFonts w:eastAsia="Calibri" w:cs="" w:ascii="Georgia" w:hAnsi="Georgia"/>
                <w:b/>
                <w:i/>
                <w:kern w:val="0"/>
                <w:sz w:val="14"/>
                <w:szCs w:val="22"/>
                <w:lang w:val="ru-RU" w:eastAsia="en-US" w:bidi="ar-SA"/>
              </w:rPr>
              <w:t>Обратите внимание на иконки и расширения!</w:t>
            </w:r>
          </w:p>
        </w:tc>
      </w:tr>
    </w:tbl>
    <w:p>
      <w:pPr>
        <w:pStyle w:val="Normal"/>
        <w:spacing w:lineRule="auto" w:line="240" w:before="120" w:after="0"/>
        <w:rPr>
          <w:rFonts w:ascii="Georgia" w:hAnsi="Georgia" w:cs="Arial"/>
          <w:color w:val="000000"/>
          <w:sz w:val="18"/>
          <w:szCs w:val="23"/>
          <w:shd w:fill="FFFFFF" w:val="clear"/>
        </w:rPr>
      </w:pPr>
      <w:r>
        <w:rPr>
          <w:rFonts w:cs="Arial" w:ascii="Georgia" w:hAnsi="Georgia"/>
          <w:color w:val="000000"/>
          <w:sz w:val="18"/>
          <w:szCs w:val="23"/>
          <w:shd w:fill="FFFFFF" w:val="clear"/>
        </w:rPr>
        <w:t xml:space="preserve">Нельзя открывать файлы следующих расширений: 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.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  <w:lang w:val="en-US"/>
        </w:rPr>
        <w:t>app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, .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  <w:lang w:val="en-US"/>
        </w:rPr>
        <w:t>exe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, .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  <w:lang w:val="en-US"/>
        </w:rPr>
        <w:t>bat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, .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  <w:lang w:val="en-US"/>
        </w:rPr>
        <w:t>js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, .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  <w:lang w:val="en-US"/>
        </w:rPr>
        <w:t>scr</w:t>
      </w:r>
      <w:r>
        <w:rPr>
          <w:rFonts w:cs="Arial" w:ascii="Georgia" w:hAnsi="Georgia"/>
          <w:color w:val="000000"/>
          <w:sz w:val="18"/>
          <w:szCs w:val="23"/>
          <w:shd w:fill="FFFFFF" w:val="clear"/>
        </w:rPr>
        <w:t>!</w:t>
      </w:r>
    </w:p>
    <w:p>
      <w:pPr>
        <w:pStyle w:val="Normal"/>
        <w:spacing w:lineRule="auto" w:line="240" w:before="0" w:after="0"/>
        <w:rPr>
          <w:rFonts w:ascii="Georgia" w:hAnsi="Georgia" w:cs="Arial"/>
          <w:color w:val="000000"/>
          <w:sz w:val="18"/>
          <w:szCs w:val="23"/>
          <w:shd w:fill="FFFFFF" w:val="clear"/>
        </w:rPr>
      </w:pPr>
      <w:r>
        <w:rPr>
          <w:rFonts w:cs="Arial" w:ascii="Georgia" w:hAnsi="Georgia"/>
          <w:color w:val="000000"/>
          <w:sz w:val="18"/>
          <w:szCs w:val="23"/>
          <w:shd w:fill="FFFFFF" w:val="clear"/>
        </w:rPr>
        <w:t xml:space="preserve">Также остерегайтесь файлов с двойным расширением (например, 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Регламент.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  <w:lang w:val="en-US"/>
        </w:rPr>
        <w:t>docx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.</w:t>
      </w:r>
      <w:r>
        <w:rPr>
          <w:rFonts w:cs="Arial" w:ascii="Georgia" w:hAnsi="Georgia"/>
          <w:b/>
          <w:color w:val="000000"/>
          <w:sz w:val="18"/>
          <w:szCs w:val="23"/>
          <w:shd w:fill="FFFFFF" w:val="clear"/>
          <w:lang w:val="en-US"/>
        </w:rPr>
        <w:t>js</w:t>
      </w:r>
      <w:r>
        <w:rPr>
          <w:rFonts w:cs="Arial" w:ascii="Georgia" w:hAnsi="Georgia"/>
          <w:color w:val="000000"/>
          <w:sz w:val="18"/>
          <w:szCs w:val="23"/>
          <w:shd w:fill="FFFFFF" w:val="clear"/>
        </w:rPr>
        <w:t>)!</w:t>
      </w:r>
    </w:p>
    <w:p>
      <w:pPr>
        <w:pStyle w:val="Normal"/>
        <w:spacing w:lineRule="auto" w:line="240" w:before="0" w:after="0"/>
        <w:jc w:val="both"/>
        <w:rPr>
          <w:rFonts w:ascii="Georgia" w:hAnsi="Georgia" w:cs="Arial"/>
          <w:i/>
          <w:i/>
          <w:color w:val="000000"/>
          <w:sz w:val="14"/>
          <w:szCs w:val="23"/>
          <w:shd w:fill="FFFFFF" w:val="clear"/>
        </w:rPr>
      </w:pPr>
      <w:r>
        <w:rPr>
          <w:rFonts w:cs="Arial" w:ascii="Georgia" w:hAnsi="Georgia"/>
          <w:i/>
          <w:color w:val="000000"/>
          <w:sz w:val="14"/>
          <w:szCs w:val="23"/>
          <w:shd w:fill="FFFFFF" w:val="clear"/>
        </w:rPr>
      </w:r>
    </w:p>
    <w:tbl>
      <w:tblPr>
        <w:tblStyle w:val="af3"/>
        <w:tblW w:w="7087" w:type="dxa"/>
        <w:jc w:val="left"/>
        <w:tblInd w:w="2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0"/>
        <w:gridCol w:w="5386"/>
      </w:tblGrid>
      <w:tr>
        <w:trPr/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 w:cs="Arial"/>
                <w:i/>
                <w:i/>
                <w:color w:val="000000"/>
                <w:sz w:val="14"/>
                <w:szCs w:val="23"/>
                <w:shd w:fill="FFFFFF" w:val="clear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937895" cy="588010"/>
                  <wp:effectExtent l="0" t="0" r="0" b="0"/>
                  <wp:docPr id="16" name="Рисунок 23" descr="Картинки по запросу OLE-объ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3" descr="Картинки по запросу OLE-объ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 w:cs="Arial"/>
                <w:i/>
                <w:i/>
                <w:color w:val="000000"/>
                <w:sz w:val="14"/>
                <w:szCs w:val="23"/>
                <w:shd w:fill="FFFFFF" w:val="clear"/>
              </w:rPr>
            </w:pPr>
            <w:r>
              <w:rPr>
                <w:rFonts w:eastAsia="Calibri" w:cs="Arial" w:ascii="Georgia" w:hAnsi="Georgia"/>
                <w:i/>
                <w:color w:val="000000"/>
                <w:kern w:val="0"/>
                <w:sz w:val="14"/>
                <w:szCs w:val="23"/>
                <w:shd w:fill="FFFFFF" w:val="clear"/>
                <w:lang w:val="ru-RU" w:eastAsia="en-US" w:bidi="ar-SA"/>
              </w:rPr>
              <w:t>На практике встречаются случаи получения по электронной почте обычного «вордовского», «экселевского» файла, внутри которого, помимо текста, есть изображение, гиперссылка (на неизвестный сайт в Интернете), встроенный OLE-объект (объекты, созданные в других программах – чертежи, рисунки, схемы). При нажатии на такой объект может произойти  заражение.</w:t>
            </w:r>
          </w:p>
        </w:tc>
      </w:tr>
      <w:tr>
        <w:trPr/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eorgia" w:hAnsi="Georgia" w:cs="Arial"/>
                <w:i/>
                <w:i/>
                <w:color w:val="000000"/>
                <w:sz w:val="14"/>
                <w:szCs w:val="23"/>
                <w:shd w:fill="FFFFFF" w:val="clear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397510" cy="451485"/>
                  <wp:effectExtent l="0" t="0" r="0" b="0"/>
                  <wp:docPr id="17" name="Рисунок 24" descr="Картинки по запросу иконка файла word с макрос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4" descr="Картинки по запросу иконка файла word с макрос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38234" t="0" r="38254" b="13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eorgia" w:hAnsi="Georgia" w:cs="Arial"/>
                <w:i/>
                <w:i/>
                <w:color w:val="000000"/>
                <w:sz w:val="14"/>
                <w:szCs w:val="23"/>
                <w:shd w:fill="FFFFFF" w:val="clear"/>
              </w:rPr>
            </w:pPr>
            <w:r>
              <w:rPr>
                <w:rFonts w:eastAsia="Calibri" w:cs="Arial" w:ascii="Georgia" w:hAnsi="Georgia"/>
                <w:i/>
                <w:color w:val="000000"/>
                <w:kern w:val="0"/>
                <w:sz w:val="14"/>
                <w:szCs w:val="23"/>
                <w:shd w:fill="FFFFFF" w:val="clear"/>
                <w:lang w:val="ru-RU" w:eastAsia="en-US" w:bidi="ar-SA"/>
              </w:rPr>
              <w:t>Также такие файлы могут содержать программный код (макросы). При запуске файлов с макросами система их блокирует. Для активации макроса необходимо нажать «Включить содержимое». Запускайте содержимое только в проверенных файлах.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Georgia" w:hAnsi="Georgia" w:cs="Arial"/>
          <w:i/>
          <w:i/>
          <w:color w:val="000000"/>
          <w:sz w:val="14"/>
          <w:szCs w:val="23"/>
          <w:shd w:fill="FFFFFF" w:val="clear"/>
        </w:rPr>
      </w:pPr>
      <w:r>
        <w:rPr>
          <w:rFonts w:cs="Arial" w:ascii="Georgia" w:hAnsi="Georgia"/>
          <w:i/>
          <w:color w:val="000000"/>
          <w:sz w:val="14"/>
          <w:szCs w:val="23"/>
          <w:shd w:fill="FFFFFF" w:val="clear"/>
        </w:rPr>
      </w:r>
    </w:p>
    <w:p>
      <w:pPr>
        <w:pStyle w:val="Normal"/>
        <w:spacing w:lineRule="auto" w:line="240" w:before="0" w:after="120"/>
        <w:jc w:val="center"/>
        <w:rPr>
          <w:rFonts w:ascii="Georgia" w:hAnsi="Georgia"/>
          <w:b/>
          <w:sz w:val="18"/>
        </w:rPr>
      </w:pPr>
      <w:r>
        <w:rPr>
          <w:rFonts w:cs="Arial" w:ascii="Georgia" w:hAnsi="Georgia"/>
          <w:b/>
          <w:i/>
          <w:color w:val="000000"/>
          <w:sz w:val="18"/>
          <w:szCs w:val="23"/>
          <w:shd w:fill="FFFFFF" w:val="clear"/>
        </w:rPr>
        <w:t>5. Обратите внимание на опечатки.</w:t>
      </w:r>
    </w:p>
    <w:p>
      <w:pPr>
        <w:pStyle w:val="Normal"/>
        <w:spacing w:lineRule="auto" w:line="240" w:before="0" w:after="120"/>
        <w:rPr>
          <w:rFonts w:ascii="Georgia" w:hAnsi="Georgia" w:cs="Arial"/>
          <w:color w:val="000000"/>
          <w:sz w:val="18"/>
          <w:szCs w:val="23"/>
          <w:shd w:fill="FFFFFF" w:val="clear"/>
        </w:rPr>
      </w:pPr>
      <w:r>
        <w:rPr>
          <w:rFonts w:cs="Arial" w:ascii="Georgia" w:hAnsi="Georgia"/>
          <w:color w:val="000000"/>
          <w:sz w:val="18"/>
          <w:szCs w:val="23"/>
          <w:shd w:fill="FFFFFF" w:val="clear"/>
        </w:rPr>
        <w:t>Обращайте внимание на возможные опечатки, орфографические ошибки, большое количество прописных букв, совпадение названий организации, имени отправителя и содержимого в тексте электронного письма.</w:t>
      </w:r>
    </w:p>
    <w:p>
      <w:pPr>
        <w:pStyle w:val="Normal"/>
        <w:spacing w:lineRule="auto" w:line="240" w:before="0" w:after="120"/>
        <w:rPr>
          <w:rFonts w:ascii="Georgia" w:hAnsi="Georgia" w:cs="Arial"/>
          <w:color w:val="000000"/>
          <w:sz w:val="18"/>
          <w:szCs w:val="23"/>
          <w:shd w:fill="FFFFFF" w:val="clear"/>
        </w:rPr>
      </w:pPr>
      <w:r>
        <w:rPr>
          <w:rFonts w:cs="Arial" w:ascii="Georgia" w:hAnsi="Georgia"/>
          <w:color w:val="000000"/>
          <w:sz w:val="18"/>
          <w:szCs w:val="23"/>
          <w:shd w:fill="FFFFFF" w:val="clear"/>
        </w:rP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46295" cy="805180"/>
            <wp:effectExtent l="0" t="0" r="0" b="0"/>
            <wp:wrapTopAndBottom/>
            <wp:docPr id="18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120"/>
        <w:jc w:val="center"/>
        <w:rPr>
          <w:rFonts w:ascii="Georgia" w:hAnsi="Georgia" w:cs="Times New Roman"/>
          <w:i/>
          <w:i/>
          <w:color w:val="000000"/>
          <w:sz w:val="18"/>
          <w:szCs w:val="20"/>
          <w:shd w:fill="FFFFFF" w:val="clear"/>
        </w:rPr>
      </w:pPr>
      <w:r>
        <w:rPr>
          <w:rFonts w:cs="Times New Roman" w:ascii="Georgia" w:hAnsi="Georgia"/>
          <w:i/>
          <w:color w:val="000000"/>
          <w:sz w:val="18"/>
          <w:szCs w:val="20"/>
          <w:shd w:fill="FFFFFF" w:val="clear"/>
        </w:rPr>
      </w:r>
    </w:p>
    <w:p>
      <w:pPr>
        <w:pStyle w:val="Normal"/>
        <w:spacing w:lineRule="auto" w:line="240" w:before="120" w:after="120"/>
        <w:rPr>
          <w:rFonts w:ascii="Georgia" w:hAnsi="Georgia" w:cs="Arial"/>
          <w:b/>
          <w:color w:val="000000"/>
          <w:sz w:val="18"/>
          <w:szCs w:val="23"/>
          <w:shd w:fill="FFFFFF" w:val="clear"/>
        </w:rPr>
      </w:pPr>
      <w:r>
        <w:rPr>
          <w:rFonts w:cs="Arial" w:ascii="Georgia" w:hAnsi="Georgia"/>
          <w:b/>
          <w:color w:val="000000"/>
          <w:sz w:val="18"/>
          <w:szCs w:val="23"/>
          <w:shd w:fill="FFFFFF" w:val="clear"/>
        </w:rPr>
        <w:t>ЧТО ДЕЛАТЬ?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1. Если Вы получили письмо, в котором от Вас требуют какого-либо взаимодействия, в том числе незамедлительного, или же такое письмо вызывает у Вас любопытство, чувство страха или побуждает к действиям,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например, «открой», «прочитай», «ознакомься», то задумайтесь и задайте себе следующие вопросы: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- ожидаю ли я это письмо?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- есть ли смысл в том, что от меня требуют?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- знаю ли я автора этого письма?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- уверен ли я в безопасности полученного электронного письма?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Если ответ хотя бы на один из озвученных выше вопросов «</w:t>
      </w:r>
      <w:r>
        <w:rPr>
          <w:rFonts w:cs="Times New Roman" w:ascii="Georgia" w:hAnsi="Georgia"/>
          <w:b/>
          <w:bCs/>
          <w:sz w:val="18"/>
          <w:szCs w:val="20"/>
        </w:rPr>
        <w:t>нет</w:t>
      </w:r>
      <w:r>
        <w:rPr>
          <w:rFonts w:cs="Times New Roman" w:ascii="Georgia" w:hAnsi="Georgia"/>
          <w:sz w:val="18"/>
          <w:szCs w:val="20"/>
        </w:rPr>
        <w:t>» -внимательно проанализируйте содержимое письма и, при необходимости, свяжитесь для консультации со своим администратором безопасности или сотрудником технической поддержки.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2. Не нажимайте на ссылки, если они заменены на слова.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3. Не копируйте адрес ссылки.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4. Не открывайте и не скачивайте вложения, особенно, если в них содержатся документы с макросами, архивы с паролями, а также файлы с расширениями RTF, LNK, CHM, VHD.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5. Не подгружайте картинки от незнакомых людей.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6. Не запускайте макросы в офисных приложениях (макрос – это набор команд и инструкций, группируемых вместе в виде единой команды для автоматического выполнения задачи.).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27650" cy="1067435"/>
            <wp:effectExtent l="0" t="0" r="0" b="0"/>
            <wp:wrapTopAndBottom/>
            <wp:docPr id="19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>7. Не пересылайте письма коллегам.</w:t>
      </w:r>
    </w:p>
    <w:p>
      <w:pPr>
        <w:pStyle w:val="Normal"/>
        <w:spacing w:lineRule="auto" w:line="240" w:before="0"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cs="Times New Roman" w:ascii="Georgia" w:hAnsi="Georgia"/>
          <w:sz w:val="18"/>
          <w:szCs w:val="20"/>
        </w:rPr>
        <w:t xml:space="preserve">8.В случае наличия признаков потенциально-опасного письма откройте письмо и перешлите его с пометкой «Прошу проверить приложенное письмо на наличие вредоносной активности» на адрес </w:t>
      </w:r>
      <w:hyperlink r:id="rId21">
        <w:r>
          <w:rPr>
            <w:rFonts w:cs="Times New Roman" w:ascii="Georgia" w:hAnsi="Georgia"/>
            <w:sz w:val="18"/>
            <w:szCs w:val="20"/>
            <w:lang w:val="en-US"/>
          </w:rPr>
          <w:t>servicedesk</w:t>
        </w:r>
        <w:r>
          <w:rPr>
            <w:rFonts w:cs="Times New Roman" w:ascii="Georgia" w:hAnsi="Georgia"/>
            <w:sz w:val="18"/>
            <w:szCs w:val="20"/>
          </w:rPr>
          <w:t>@</w:t>
        </w:r>
        <w:r>
          <w:rPr>
            <w:rFonts w:cs="Times New Roman" w:ascii="Georgia" w:hAnsi="Georgia"/>
            <w:sz w:val="18"/>
            <w:szCs w:val="20"/>
            <w:lang w:val="en-US"/>
          </w:rPr>
          <w:t>tularegion</w:t>
        </w:r>
        <w:r>
          <w:rPr>
            <w:rFonts w:cs="Times New Roman" w:ascii="Georgia" w:hAnsi="Georgia"/>
            <w:sz w:val="18"/>
            <w:szCs w:val="20"/>
          </w:rPr>
          <w:t>.</w:t>
        </w:r>
        <w:r>
          <w:rPr>
            <w:rFonts w:cs="Times New Roman" w:ascii="Georgia" w:hAnsi="Georgia"/>
            <w:sz w:val="18"/>
            <w:szCs w:val="20"/>
            <w:lang w:val="en-US"/>
          </w:rPr>
          <w:t>ru</w:t>
        </w:r>
      </w:hyperlink>
      <w:r>
        <w:rPr>
          <w:rFonts w:cs="Times New Roman" w:ascii="Georgia" w:hAnsi="Georgia"/>
          <w:sz w:val="18"/>
          <w:szCs w:val="20"/>
        </w:rPr>
        <w:t xml:space="preserve"> (</w:t>
      </w:r>
      <w:r>
        <w:rPr>
          <w:rFonts w:cs="Times New Roman" w:ascii="Georgia" w:hAnsi="Georgia"/>
          <w:sz w:val="18"/>
          <w:szCs w:val="20"/>
          <w:lang w:val="en-US"/>
        </w:rPr>
        <w:t>omnitracker</w:t>
      </w:r>
      <w:r>
        <w:rPr>
          <w:rFonts w:cs="Times New Roman" w:ascii="Georgia" w:hAnsi="Georgia"/>
          <w:sz w:val="18"/>
          <w:szCs w:val="20"/>
        </w:rPr>
        <w:t xml:space="preserve">). </w:t>
      </w:r>
    </w:p>
    <w:p>
      <w:pPr>
        <w:pStyle w:val="Normal"/>
        <w:spacing w:lineRule="auto" w:line="240" w:before="0" w:after="0"/>
        <w:jc w:val="center"/>
        <w:rPr>
          <w:rFonts w:ascii="Georgia" w:hAnsi="Georgia" w:cs="Arial"/>
          <w:color w:val="000000"/>
          <w:sz w:val="20"/>
          <w:szCs w:val="23"/>
          <w:shd w:fill="FFFFFF" w:val="clear"/>
        </w:rPr>
      </w:pPr>
      <w:r>
        <w:rPr/>
        <w:drawing>
          <wp:inline distT="0" distB="0" distL="0" distR="0">
            <wp:extent cx="4780915" cy="1260475"/>
            <wp:effectExtent l="0" t="0" r="0" b="0"/>
            <wp:docPr id="20" name="Рисунок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0" t="0" r="82739" b="83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23"/>
      <w:footerReference w:type="default" r:id="rId24"/>
      <w:type w:val="nextPage"/>
      <w:pgSz w:w="11906" w:h="16838"/>
      <w:pgMar w:left="1080" w:right="1080" w:gutter="0" w:header="0" w:top="1214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ind w:left="-1701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>
        <w:lang w:eastAsia="ru-RU"/>
      </w:rPr>
    </w:pPr>
    <w:r>
      <w:rPr>
        <w:lang w:eastAsia="ru-RU"/>
      </w:rPr>
    </w:r>
  </w:p>
  <w:p>
    <w:pPr>
      <w:pStyle w:val="Style28"/>
      <w:ind w:left="-851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a3c0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9a3c0e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9a3c0e"/>
    <w:rPr>
      <w:rFonts w:ascii="Tahoma" w:hAnsi="Tahoma" w:cs="Tahoma"/>
      <w:sz w:val="16"/>
      <w:szCs w:val="16"/>
    </w:rPr>
  </w:style>
  <w:style w:type="character" w:styleId="-" w:customStyle="1">
    <w:name w:val="Hyperlink"/>
    <w:basedOn w:val="DefaultParagraphFont"/>
    <w:uiPriority w:val="99"/>
    <w:unhideWhenUsed/>
    <w:rsid w:val="00c15554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3" w:customStyle="1">
    <w:name w:val="!! нумеров"/>
    <w:basedOn w:val="ListParagraph"/>
    <w:qFormat/>
    <w:rsid w:val="001b34bc"/>
    <w:pPr>
      <w:widowControl w:val="false"/>
      <w:numPr>
        <w:ilvl w:val="0"/>
        <w:numId w:val="1"/>
      </w:numPr>
      <w:spacing w:lineRule="auto" w:line="240" w:before="120" w:after="120"/>
      <w:contextualSpacing w:val="false"/>
      <w:jc w:val="both"/>
    </w:pPr>
    <w:rPr>
      <w:rFonts w:ascii="Times New Roman" w:hAnsi="Times New Roman" w:eastAsia="Calibri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b34bc"/>
    <w:pPr>
      <w:spacing w:before="0" w:after="200"/>
      <w:ind w:left="720" w:hanging="0"/>
      <w:contextualSpacing/>
    </w:pPr>
    <w:rPr/>
  </w:style>
  <w:style w:type="paragraph" w:styleId="Style24" w:customStyle="1">
    <w:name w:val="ТД_Нумерация"/>
    <w:autoRedefine/>
    <w:qFormat/>
    <w:rsid w:val="008e3d7b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eastAsia="ru-RU" w:val="ru-RU" w:bidi="ar-SA"/>
    </w:rPr>
  </w:style>
  <w:style w:type="paragraph" w:styleId="Style25" w:customStyle="1">
    <w:name w:val="ТД_Внутр_Нумерация"/>
    <w:basedOn w:val="ListParagraph"/>
    <w:autoRedefine/>
    <w:qFormat/>
    <w:rsid w:val="008e3d7b"/>
    <w:pPr>
      <w:numPr>
        <w:ilvl w:val="0"/>
        <w:numId w:val="2"/>
      </w:numPr>
      <w:spacing w:before="0" w:after="0"/>
      <w:contextualSpacing/>
      <w:jc w:val="both"/>
    </w:pPr>
    <w:rPr>
      <w:rFonts w:ascii="Times New Roman" w:hAnsi="Times New Roman"/>
      <w:i/>
      <w:sz w:val="18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9a3c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9a3c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9a3c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3"/>
    <w:uiPriority w:val="59"/>
    <w:rsid w:val="00126f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gif"/><Relationship Id="rId12" Type="http://schemas.openxmlformats.org/officeDocument/2006/relationships/image" Target="media/image8.gif"/><Relationship Id="rId13" Type="http://schemas.openxmlformats.org/officeDocument/2006/relationships/image" Target="media/image9.gif"/><Relationship Id="rId14" Type="http://schemas.openxmlformats.org/officeDocument/2006/relationships/image" Target="media/image10.gif"/><Relationship Id="rId15" Type="http://schemas.openxmlformats.org/officeDocument/2006/relationships/image" Target="media/image11.gif"/><Relationship Id="rId16" Type="http://schemas.openxmlformats.org/officeDocument/2006/relationships/image" Target="media/image12.gif"/><Relationship Id="rId17" Type="http://schemas.openxmlformats.org/officeDocument/2006/relationships/image" Target="media/image13.gif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mailto:servicedesk@tularegion.ru" TargetMode="External"/><Relationship Id="rId22" Type="http://schemas.openxmlformats.org/officeDocument/2006/relationships/image" Target="media/image17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LibreOffice/7.5.2.1$Linux_X86_64 LibreOffice_project/50$Build-1</Application>
  <AppVersion>15.0000</AppVersion>
  <Pages>2</Pages>
  <Words>652</Words>
  <Characters>4144</Characters>
  <CharactersWithSpaces>4760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2016-12-05T12:08:00Z</dcterms:created>
  <dc:creator>Демина Елена Сергеевна</dc:creator>
  <dc:description/>
  <dc:language>ru-RU</dc:language>
  <cp:lastModifiedBy>Крылов Константин Александрович</cp:lastModifiedBy>
  <cp:lastPrinted>2023-08-10T12:05:00Z</cp:lastPrinted>
  <dcterms:modified xsi:type="dcterms:W3CDTF">2025-06-10T12:02:00Z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